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800" w:after="100"/>
        <w:jc w:val="center"/>
      </w:pPr>
      <w:r>
        <w:rPr>
          <w:rFonts w:ascii="Noto Sans CJK SC" w:hAnsi="Noto Sans CJK SC" w:eastAsia="Noto Sans CJK SC" w:cs="Noto Sans CJK SC" w:hint="eastAsia"/>
          <w:b/>
          <w:color w:val="B9893D"/>
          <w:sz w:val="20"/>
          <w:lang w:val="zh-CN" w:eastAsia="zh-CN"/>
        </w:rPr>
        <w:t>HUAINAN · 2026</w:t>
      </w:r>
    </w:p>
    <w:p>
      <w:pPr>
        <w:spacing w:after="200"/>
        <w:jc w:val="center"/>
      </w:pPr>
      <w:r>
        <w:rPr>
          <w:rFonts w:ascii="Noto Sans CJK SC" w:hAnsi="Noto Sans CJK SC" w:eastAsia="Noto Sans CJK SC" w:cs="Noto Sans CJK SC" w:hint="eastAsia"/>
          <w:b/>
          <w:color w:val="133B68"/>
          <w:sz w:val="50"/>
          <w:lang w:val="zh-CN" w:eastAsia="zh-CN"/>
        </w:rPr>
        <w:t>淮南市人工智能公共服务平台</w:t>
      </w:r>
    </w:p>
    <w:p>
      <w:pPr>
        <w:spacing w:after="160"/>
        <w:jc w:val="center"/>
      </w:pPr>
      <w:r>
        <w:rPr>
          <w:rFonts w:ascii="Noto Sans CJK SC" w:hAnsi="Noto Sans CJK SC" w:eastAsia="Noto Sans CJK SC" w:cs="Noto Sans CJK SC" w:hint="eastAsia"/>
          <w:b/>
          <w:color w:val="133B68"/>
          <w:sz w:val="58"/>
          <w:lang w:val="zh-CN" w:eastAsia="zh-CN"/>
        </w:rPr>
        <w:t>暨“Token超市”建设运营实施方案</w:t>
      </w:r>
    </w:p>
    <w:p>
      <w:pPr>
        <w:spacing w:after="360"/>
        <w:jc w:val="center"/>
      </w:pPr>
      <w:r>
        <w:rPr>
          <w:rFonts w:ascii="Noto Sans CJK SC" w:hAnsi="Noto Sans CJK SC" w:eastAsia="Noto Sans CJK SC" w:cs="Noto Sans CJK SC" w:hint="eastAsia"/>
          <w:b/>
          <w:color w:val="B9893D"/>
          <w:sz w:val="24"/>
          <w:lang w:val="zh-CN" w:eastAsia="zh-CN"/>
        </w:rPr>
        <w:t>项目交流稿 · V2.0</w:t>
      </w:r>
    </w:p>
    <w:p>
      <w:pPr>
        <w:spacing w:after="80"/>
        <w:ind w:firstLine="0"/>
        <w:jc w:val="center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21"/>
          <w:lang w:val="zh-CN" w:eastAsia="zh-CN"/>
        </w:rPr>
        <w:t>指导单位：待沟通确认</w:t>
      </w:r>
    </w:p>
    <w:p>
      <w:pPr>
        <w:spacing w:after="80"/>
        <w:ind w:firstLine="0"/>
        <w:jc w:val="center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21"/>
          <w:lang w:val="zh-CN" w:eastAsia="zh-CN"/>
        </w:rPr>
        <w:t>项目业主/运营主体：待沟通确认</w:t>
      </w:r>
    </w:p>
    <w:p>
      <w:pPr>
        <w:spacing w:after="80"/>
        <w:ind w:firstLine="0"/>
        <w:jc w:val="center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21"/>
          <w:lang w:val="zh-CN" w:eastAsia="zh-CN"/>
        </w:rPr>
        <w:t>方案编制单位：________________________</w:t>
      </w:r>
    </w:p>
    <w:p>
      <w:pPr>
        <w:spacing w:after="80"/>
        <w:ind w:firstLine="0"/>
        <w:jc w:val="center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21"/>
          <w:lang w:val="zh-CN" w:eastAsia="zh-CN"/>
        </w:rPr>
        <w:t>联系人及电话：________________________</w:t>
      </w:r>
    </w:p>
    <w:p>
      <w:pPr>
        <w:spacing w:after="80"/>
        <w:ind w:firstLine="0"/>
        <w:jc w:val="center"/>
      </w:pPr>
      <w:r>
        <w:rPr>
          <w:rFonts w:ascii="Noto Sans CJK SC" w:hAnsi="Noto Sans CJK SC" w:eastAsia="Noto Sans CJK SC" w:cs="Noto Sans CJK SC" w:hint="eastAsia"/>
          <w:color w:val="6C675F"/>
          <w:sz w:val="21"/>
          <w:lang w:val="zh-CN" w:eastAsia="zh-CN"/>
        </w:rPr>
        <w:t>编制日期：二〇二六年七月</w:t>
      </w:r>
    </w:p>
    <w:p>
      <w:r>
        <w:rPr>
          <w:rFonts w:ascii="Noto Sans CJK SC" w:hAnsi="Noto Sans CJK SC" w:eastAsia="Noto Sans CJK SC" w:cs="Noto Sans CJK SC" w:hint="eastAsia"/>
          <w:lang w:val="zh-CN" w:eastAsia="zh-CN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文件说明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color w:val="24364A"/>
          <w:sz w:val="22"/>
          <w:lang w:val="zh-CN" w:eastAsia="zh-CN"/>
        </w:rPr>
        <w:t>本文件已与网页展示版的项目逻辑、章节判断、公开数据和行动建议同步，用于政府部门、市属国有企业及合作单位开展项目论证与前期对接。本文件不替代可行性研究、初步设计、财政评审、网络安全审查或采购文件。公开事实均附来源；试点规模、预算区间和绩效目标均为建议值，须经调研、询价和依法决策后确认。</w:t>
      </w:r>
    </w:p>
    <w:tbl>
      <w:tblPr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8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8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 xml:space="preserve">三类信息边界　</w:t>
            </w: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“公开事实”可核验；“方案建议”用于讨论；“待调研项”必须在立项前形成书面结论。任何规划数据不得表述为已建成能力。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目录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序号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章节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核心回答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决策摘要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为什么做、由谁做、先做什么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政策与发展背景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与国家及地方部署如何衔接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淮南基础与差距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具备什么、还缺什么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4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项目定位与目标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不只是模型接口，而是城市公共能力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5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总体建设方案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平台建什么、边界在哪里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6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技术架构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如何接入、计量、路由与运营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7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场景工程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首批场景怎样形成可验收成果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8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组织与合作机制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政府、国企、技术方如何分工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9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实施计划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90天试点到规模运营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10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投资估算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三档投入、假设与不含项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11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运营与发展效应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产业、治理、民生、国资价值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12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绩效与验收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怎样证明项目有效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13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安全合规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数据、模型、内容、网络如何管控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14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风险管理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哪些条件不足时暂停或调整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15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政府协调事项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希望政府帮助明确什么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16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专项附件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任务书、RACI、清单、来源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17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数据附录一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2025年经济结构与城市发展底盘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18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数据附录二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产业新动能与2030产业方向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19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数据附录三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数据资源与政务服务基础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20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数据附录四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服务对象、创新基础与数据资产路径</w:t>
            </w:r>
          </w:p>
        </w:tc>
      </w:tr>
    </w:tbl>
    <w:p>
      <w:pPr>
        <w:spacing w:after="0"/>
      </w:pPr>
    </w:p>
    <w:p>
      <w:r>
        <w:rPr>
          <w:rFonts w:ascii="Noto Sans CJK SC" w:hAnsi="Noto Sans CJK SC" w:eastAsia="Noto Sans CJK SC" w:cs="Noto Sans CJK SC" w:hint="eastAsia"/>
          <w:lang w:val="zh-CN" w:eastAsia="zh-CN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一、决策摘要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建议淮南以现有数字基础设施和产业场景为依托，建设市级人工智能公共服务平台，并以“Token超市”作为面向政府、国企、园区和中小企业的能力交易与服务专区。项目的核心不是创造虚拟资产，也不是简单转售模型接口，而是把分散的算力、模型、数据工具和专业服务转化为统一接入、按量计量、预算可控、安全可审计的公共能力。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国家政策已把人工智能与产业发展、公共治理、民生服务和基础设施协同推进，国家数据基础设施建设强调“建设和运营并重”。淮南公开行动方案提出推进智算能力、异构调度以及人工智能与大数据产业链建设，为本项目提供了方向基础；但具体可用算力、价格、网络和安全域仍须实地核验。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来源：S1；S2；S5。完整链接见附件五。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决策事项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建议结论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决策前置条件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建设方式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先试点、后立项扩容；不先采购大规模GPU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明确运营主体、场景单位、资金路径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优先由具备数字产业能力的市属国企承担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具备独立核算、采购、客户服务能力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首期范围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统一门户、模型网关、计量结算、安全审计、3类场景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数据边界清楚，场景责任人到位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试点周期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建议90天形成可运行、可计量、可评价闭环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建议值，须结合采购程序调整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投资原则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软件平台、调用资源、场景服务与硬件分项测算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完成询价、资源盘点和安全定级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扩容条件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连续使用、付费意愿、账单准确、场景有效、安全可控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第三方或联合评估通过</w:t>
            </w:r>
          </w:p>
        </w:tc>
      </w:tr>
    </w:tbl>
    <w:p>
      <w:pPr>
        <w:spacing w:after="0"/>
      </w:pPr>
    </w:p>
    <w:tbl>
      <w:tblPr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8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8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 xml:space="preserve">建议本次会议形成的成果　</w:t>
            </w: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确定一个牵头部门、一个候选运营主体、三至五家场景单位和一份30日联合调研任务书。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二、政策与发展背景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（一）国家政策映射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政策要求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项目响应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拟形成成果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人工智能与产业、治理、民生等领域融合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建设统一AI公共服务入口，组织行业场景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场景库、模型服务目录、效果评估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数据基础设施建设与运营并重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统一连接、身份、目录、计量、审计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运营后台、账单、资源目录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促进数据产业高质量发展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引入算力、云、低代码、评测和咨询服务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生态伙伴体系、服务商目录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发展与安全并重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分类分级、权限隔离、日志审计、内容安全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安全制度、技术控制、应急预案</w:t>
            </w:r>
          </w:p>
        </w:tc>
      </w:tr>
    </w:tbl>
    <w:p>
      <w:pPr>
        <w:spacing w:after="0"/>
      </w:pP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来源：S1；S2；S4；S7；S8；S9。完整链接见附件五。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（二）行业需求变化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公开报道援引国家数据局数据称，全国日均Token调用量由2024年初约1000亿增长至2026年3月约140万亿，约为1400倍。该数据说明模型调用正在从试用走向基础服务，但不能直接等同于淮南本地需求。淮南仍需通过企业访谈、试用转化和调用数据验证实际市场。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来源：S10。完整链接见附件五。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（三）对标借鉴边界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无锡公开的城市级“Token超市”强调算力、应用、场景等资源的协同，并配套算力券等机制。淮南可以借鉴统一入口、资源聚合和场景牵引的机制，但不应复制其规模、预算或KPI。两地产业结构、财政条件、资源存量和运营主体不同，淮南方案必须以本地调研为依据。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来源：S6。完整链接见附件五。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三、淮南基础、需求与差距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（一）公开基础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《“数字淮南”建设三年行动方案（2024—2026年）》披露，中国移动长三角（淮南）数据中心一期投资24亿元、已投产机架6600个、互联网出口带宽13000Gbps；同时披露淮南大数据产业智算中心的规划投资和一期规划算力。前者属于公开披露的现有基础，后者属于规划安排，正式方案必须分别表述。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来源：S5。完整链接见附件五。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类别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公开信息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本项目判断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需核验内容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数据中心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一期投资24亿元、6600个机架、13000Gbps出口带宽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具备云网与承载基础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可用机架、租赁价格、网络时延、安全域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智算规划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公开方案提出约10亿元项目及一期2000P等规划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说明发展方向，不视为现货能力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实际投产量、GPU型号、调度接口、利用率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产业场景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能源、矿山、政务、企业服务等场景基础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适合知识服务与辅助决策试点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数据责任、生产边界、使用频次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政策方向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建设AI与大数据产业集群、推动全链条发展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平台可作为应用与运营抓手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牵头部门、财政及国资路径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（二）拟解决的六项差距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差距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当前典型问题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平台能力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入口分散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各单位分别开户、接口和账单不统一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统一账户、密钥、服务目录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资源不可计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算力和模型难以形成统一用量口径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Token、时长、次数及成本计量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中小企业门槛高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缺技术团队、选型困难、预算不透明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工作台、套餐、顾问和场景模板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本地算力缺运营连接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基础设施与客户需求之间缺少产品化层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资源上架、路由、定价和结算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行业知识难沉淀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通用模型不了解本地制度与专业资料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知识库、智能体、引用溯源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安全责任不清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外部模型使用、数据上传、输出应用缺规则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分类分级、审批、审计、人机边界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（三）立项前必须完成的调研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调研包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对象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关键问题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成果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运营商、数据中心、云与模型厂商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可用资源、价格、SLA、接口、安全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资源台账及询价记录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需求包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政府、国企、园区、重点企业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高频任务、数据类型、现有系统、预算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需求优先级矩阵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首批业务责任部门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流程、样本、基线、风险、验收人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场景任务书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合规包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网信、公安、数据、法务及安全单位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定级、备案、数据出域、内容标识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合规路线图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经营包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候选市属国企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组织、客户、财务、采购、资产管理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运营方案和三年测算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四、项目定位、原则与目标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项目定位为“城市级人工智能公共服务与运营基础设施”：上承国家和安徽数字化、人工智能发展部署，下接淮南产业、治理和企业服务需求；对外提供产品化AI能力，对内形成资源调度、计量结算、安全治理和经营管理体系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67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原则</w:t>
            </w:r>
          </w:p>
        </w:tc>
        <w:tc>
          <w:tcPr>
            <w:tcW w:type="dxa" w:w="6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具体含义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政府引导、不包办经营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政府负责方向、规则、场景协调和监督，运营主体承担经营责任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国企主导、资产清晰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品牌、平台资产、客户和经营数据权属通过合同明确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小步试点、数据决策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先用90天验证，调用、用户和场景数据达到门槛再扩容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市场机制、适度支持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财政支持用于降低首次使用门槛，不形成长期补贴依赖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安全分级、全程留痕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不同数据选择不同部署和模型，调用、配置和审批可审计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开放兼容、避免锁定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统一接口接入多模型、多算力，设置可替换和退出机制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（一）目标体系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层级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目标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建议观察指标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近期：0—3个月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验证平台、机制和首批场景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模型接入、试点单位、活跃用户、账单误差、问题闭环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中期：4—12个月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形成常态运营和可复制场景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付费客户、月调用、场景复用、本地资源占比、收入成本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远期：1—3年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形成城市AI服务生态与产业抓手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产业项目、服务企业、人才认证、国资效能、治理成效</w:t>
            </w:r>
          </w:p>
        </w:tc>
      </w:tr>
    </w:tbl>
    <w:p>
      <w:pPr>
        <w:spacing w:after="0"/>
      </w:pPr>
    </w:p>
    <w:tbl>
      <w:tblPr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8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8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 xml:space="preserve">指标说明　</w:t>
            </w: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所有数量目标均应在调研后由项目业主批准。本文件中的“3个场景、5家试点单位、20家企业用户”等仅为试点建议值。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五、总体建设方案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（一）“一门户、一中台、四中心、N场景”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组成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主要功能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首期边界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统一服务门户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认证、服务目录、工作台、API、账单、工单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企业端与运营端基础功能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AI能力中台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多模型适配、智能路由、提示词、知识库、智能体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优先接入3—8个合规模型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资源运营中心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算力/模型上架、成本、价格、配额、结算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云资源优先，本地资源经核验后接入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场景运营中心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需求征集、场景任务书、开发、发布、评价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3个代表性场景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安全治理中心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身份、分类分级、审计、内容安全、应急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满足试点范围所需控制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经营分析中心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客户、调用、收入、成本、SLA、绩效看板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形成月度运营报告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N类应用场景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政务、国企、能源矿山、园区企业、民生等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高风险场景只做辅助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（二）平台不做什么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首期不发行、交易或兑换任何虚拟资产；“Token”仅指模型文本处理的计量单位或相应服务额度。首期不以采购大规模GPU为前提，不替代部门现有核心业务系统，不让模型自动作出行政决定、生产控制或安全责任判断，不把规划中的算力当作已经可调用的资源。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（三）主要产品模块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67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模块</w:t>
            </w:r>
          </w:p>
        </w:tc>
        <w:tc>
          <w:tcPr>
            <w:tcW w:type="dxa" w:w="6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功能清单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组织与账户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组织认证、成员、角色、项目、密钥、额度、单点登录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模型服务目录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能力、价格、适用数据级别、时延、上下文、供应商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统一模型网关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协议适配、限流、熔断、重试、路由、故障切换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计量计费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输入输出Token、次数、时长、成本、价格、账单和对账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知识库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解析、切分、索引、权限、检索、引用、更新和质量评估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智能体与工作台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模板、工具调用、流程编排、人工确认、发布和版本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安全管理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分类分级、脱敏、敏感词、审计、告警、密钥轮换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运营管理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客户、套餐、优惠、服务券、工单、SLA、伙伴和经营看板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六、技术架构与数据流程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层级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组成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关键控制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用户与渠道层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网页、API、企业应用、政务/国企内部门户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实名、组织认证、应用授权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业务服务层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工作台、知识库、智能体、场景应用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权限、人机确认、输出引用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能力中台层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模型网关、路由、提示词、工具、评测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供应商白名单、版本、降级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运营计量层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用量、价格、预算、账单、工单、经营分析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对账、阈值、异常识别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公有云模型、专属实例、本地模型、本地/异地算力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数据级别与部署方式匹配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安全运维层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IAM、日志、监控、备份、内容安全、应急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全链路留痕、最小权限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（一）一次调用的闭环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用户或应用发起请求后，平台先校验身份、项目、额度和数据使用规则；再依据业务授权和可用性选择模型；调用完成后记录供应商、模型版本、输入输出用量、时延、状态和费用；对输出执行必要的内容检测与标识；最后将用量纳入组织预算、账单和运营报表。涉及敏感数据或高风险业务时，增加脱敏、专属部署、人工复核或禁止外发等控制。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（二）关键非功能要求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类别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试点建议要求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正式建设确认方式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可用性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核心服务月度可用性目标建议不低于99.5%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依据SLA和成本评审确认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账单准确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同一原始调用记录可复算，账单差错可追溯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抽样对账与自动化测试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性能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常用请求平台附加延迟应可监测并设告警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压测基线后确定指标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扩展性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新增模型不改动上层业务接口或仅做小幅适配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多供应商切换验证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可观测性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调用、错误、成本、容量、SLA均有监控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监控清单和演练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可恢复性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配置、账单和知识库具备备份恢复方案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恢复演练确定RTO/RPO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七、首批场景工程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场景建设按“业务问题—责任人—数据—流程—模型—人工控制—基线—目标—验收”九要素管理。没有业务责任人、合法数据来源或可测基线的场景，不进入开发。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150"/>
        <w:gridCol w:w="1200"/>
        <w:gridCol w:w="1250"/>
        <w:gridCol w:w="1650"/>
        <w:gridCol w:w="1250"/>
        <w:gridCol w:w="1200"/>
        <w:gridCol w:w="1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1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场景</w:t>
            </w:r>
          </w:p>
        </w:tc>
        <w:tc>
          <w:tcPr>
            <w:tcW w:type="dxa" w:w="1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责任主体</w:t>
            </w:r>
          </w:p>
        </w:tc>
        <w:tc>
          <w:tcPr>
            <w:tcW w:type="dxa" w:w="12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数据范围</w:t>
            </w:r>
          </w:p>
        </w:tc>
        <w:tc>
          <w:tcPr>
            <w:tcW w:type="dxa" w:w="16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业务问题</w:t>
            </w:r>
          </w:p>
        </w:tc>
        <w:tc>
          <w:tcPr>
            <w:tcW w:type="dxa" w:w="12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交付能力</w:t>
            </w:r>
          </w:p>
        </w:tc>
        <w:tc>
          <w:tcPr>
            <w:tcW w:type="dxa" w:w="1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评价指标</w:t>
            </w:r>
          </w:p>
        </w:tc>
        <w:tc>
          <w:tcPr>
            <w:tcW w:type="dxa" w:w="1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边界</w:t>
            </w:r>
          </w:p>
        </w:tc>
      </w:tr>
      <w:tr>
        <w:trPr>
          <w:cantSplit/>
        </w:trPr>
        <w:tc>
          <w:tcPr>
            <w:tcW w:type="dxa" w:w="11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惠企政策服务助手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企业服务部门/园区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公开政策、办事指南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检索慢、政策匹配难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带来源问答、条件提示、材料清单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引用准确率、问题解决率、人工转接率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不替代正式政策解释</w:t>
            </w:r>
          </w:p>
        </w:tc>
      </w:tr>
      <w:tr>
        <w:trPr>
          <w:cantSplit/>
        </w:trPr>
        <w:tc>
          <w:tcPr>
            <w:tcW w:type="dxa" w:w="11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国企制度与办公助手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市属国企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经批准的制度和非涉密材料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制度分散、重复咨询、文稿耗时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权限知识库、摘要、材料辅助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检索成功率、节省时长、活跃用户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涉密和敏感信息隔离</w:t>
            </w:r>
          </w:p>
        </w:tc>
      </w:tr>
      <w:tr>
        <w:trPr>
          <w:cantSplit/>
        </w:trPr>
        <w:tc>
          <w:tcPr>
            <w:tcW w:type="dxa" w:w="11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能源矿山知识助手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能源/矿山企业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规程、手册、历史案例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资料多、定位慢、新员工学习成本高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规程检索、设备资料问答、培训测验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引用命中率、查询时长、培训覆盖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不连接生产控制、不替代安全决策</w:t>
            </w:r>
          </w:p>
        </w:tc>
      </w:tr>
      <w:tr>
        <w:trPr>
          <w:cantSplit/>
        </w:trPr>
        <w:tc>
          <w:tcPr>
            <w:tcW w:type="dxa" w:w="11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园区企业AI工作台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园区运营主体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企业自有一般资料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中小企业缺工具和技术人员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文档、营销、客服、数据分析模板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活跃企业、留存、付费意愿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企业对数据和输出负责</w:t>
            </w:r>
          </w:p>
        </w:tc>
      </w:tr>
      <w:tr>
        <w:trPr>
          <w:cantSplit/>
        </w:trPr>
        <w:tc>
          <w:tcPr>
            <w:tcW w:type="dxa" w:w="11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政务材料辅助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试点部门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公开信息及经批准内部材料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汇总、检索、初稿工作量大</w:t>
            </w:r>
          </w:p>
        </w:tc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资料摘要、提纲、格式检查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节省时长、采用率、差错率</w:t>
            </w:r>
          </w:p>
        </w:tc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人工审核后使用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（一）场景交付物标准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阶段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交付物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退出条件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立项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场景任务书、责任人、样本清单、数据合规意见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要素不全则不进入开发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原型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可演示流程、模型与知识库方案、风险清单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业务责任人确认可用方向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试运行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用户培训、使用日志、问题单、基线与目标数据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连续运行且重大问题关闭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验收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功能、效果、安全、运维材料和复盘报告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指标达标或形成书面偏差处置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推广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标准产品包、报价、部署和服务手册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具备跨单位复制条件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八、组织、合作与资产机制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角色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核心职责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不承担事项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市级牵头部门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方向、政策衔接、跨部门协调、监督评价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不直接承担市场经营和技术运维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项目业主/市属国企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投资决策、采购、资产、品牌、客户、财务和运营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不将关键经营责任完全外包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技术建设运营方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产品、研发、模型接入、安全运维、场景服务和培训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未经授权不使用客户数据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资源供应方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模型、云网、算力、SLA、价格和安全材料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不直接控制平台客户与账单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场景单位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业务责任、数据合法性、用户组织、效果评价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不把模型输出直接作为高风险决定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第三方机构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测评、等保、审计、造价或绩效评价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保持独立性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（一）资产与权利原则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67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对象</w:t>
            </w:r>
          </w:p>
        </w:tc>
        <w:tc>
          <w:tcPr>
            <w:tcW w:type="dxa" w:w="6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建议原则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品牌与域名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由项目业主统一持有和管理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平台软件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区分通用底座与定制成果，明确授权范围、源代码托管和退出交接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客户关系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由运营主体统一签约、服务和结算，合作方按授权参与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经营数据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平台用量、账单和客户运营数据由运营主体依法管理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客户业务数据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权利仍归客户或依法有权主体，平台仅按委托处理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知识库与场景成果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按原始资料、加工成果、通用组件分别约定权属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模型与第三方组件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遵循供应商许可，不承诺超出许可范围的权利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收益分配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优先覆盖资源成本、税费与运营成本，再按合同分配服务收益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（二）采购与合作边界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前期框架合作可用于联合调研、方案论证和演示验证，但不得规避政府采购、国企采购和公平竞争要求。正式建设应根据项目性质确定可研、预算评审、采购、合同和验收程序；涉及持续运营的，应把模型价格变化、最低服务量、SLA、数据处理、审计权、转包、知识产权、退出迁移写入合同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九、实施计划与90天试点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阶段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时间建议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工作重点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里程碑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联合调研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第1—30日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资源盘点、场景访谈、合规研判、主体和资金路径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调研报告、任务书、投资测算V1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平台与原型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第31—60日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门户、网关、计量、安全底座；3个场景原型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可运行演示、测试报告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试运行与评估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第61—90日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首批单位使用、运营服务、对账、效果和安全评估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试点验收、正式建设建议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正式建设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第4—9月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完善功能、接入经核验本地资源、扩大客户与场景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城市级平台一期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持续运营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第10月起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场景复制、企业服务、生态合作和月度经营分析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常态化运营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（一）90天任务分解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工作包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主要任务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责任建议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交付物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WP1 项目治理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成立专班、周例会、问题和变更管理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业主牵头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章程、计划、台账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WP2 资源接入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模型与云资源询价、接口和SLA核验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技术方+资源方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资源目录、接入报告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WP3 平台底座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账户、网关、计量、预算、账单、工单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技术方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试点平台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WP4 场景建设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三类场景任务书、知识库、流程与评测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场景单位+技术方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场景应用和评测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WP5 安全合规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数据清单、规则、日志、内容安全和应急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业主+安全单位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制度与测试材料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WP6 运营验证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招募、培训、客服、月报、付费意愿访谈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运营报告和客户清单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WP7 验收决策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功能、效果、经营、安全和投资复盘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联合验收组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验收及二期建议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十、投资估算与资金安排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以下为前期沟通区间，不是报价、概算或财政预算。须在功能边界、部署方式、用户规模、安全等级、资源价格和采购模式确定后，由有资质或经认可的单位测算。GPU服务器、机房改造、专线和大规模存储原则上单独立项论证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1850"/>
        <w:gridCol w:w="2050"/>
        <w:gridCol w:w="1900"/>
        <w:gridCol w:w="185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2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方案</w:t>
            </w:r>
          </w:p>
        </w:tc>
        <w:tc>
          <w:tcPr>
            <w:tcW w:type="dxa" w:w="18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参考区间（建议）</w:t>
            </w:r>
          </w:p>
        </w:tc>
        <w:tc>
          <w:tcPr>
            <w:tcW w:type="dxa" w:w="20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适用范围</w:t>
            </w:r>
          </w:p>
        </w:tc>
        <w:tc>
          <w:tcPr>
            <w:tcW w:type="dxa" w:w="1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主要包含</w:t>
            </w:r>
          </w:p>
        </w:tc>
        <w:tc>
          <w:tcPr>
            <w:tcW w:type="dxa" w:w="18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明确不含</w:t>
            </w:r>
          </w:p>
        </w:tc>
      </w:tr>
      <w:tr>
        <w:trPr>
          <w:cantSplit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 轻量验证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100—300万元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90天、小范围、云模型优先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基础平台、3个场景、调用资源、安全基础、运营试点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大规模GPU、复杂系统改造</w:t>
            </w:r>
          </w:p>
        </w:tc>
      </w:tr>
      <w:tr>
        <w:trPr>
          <w:cantSplit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B 城市试点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300—800万元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多单位、较完整运营体系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完整门户与中台、更多场景、专属资源、安全和运维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大型智算中心建设</w:t>
            </w:r>
          </w:p>
        </w:tc>
      </w:tr>
      <w:tr>
        <w:trPr>
          <w:cantSplit/>
        </w:trPr>
        <w:tc>
          <w:tcPr>
            <w:tcW w:type="dxa" w:w="12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 规模建设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需可研和询价</w:t>
            </w:r>
          </w:p>
        </w:tc>
        <w:tc>
          <w:tcPr>
            <w:tcW w:type="dxa" w:w="20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全市推广或专属部署</w:t>
            </w:r>
          </w:p>
        </w:tc>
        <w:tc>
          <w:tcPr>
            <w:tcW w:type="dxa" w:w="1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高可用、系统集成、本地资源、持续运营与生态</w:t>
            </w:r>
          </w:p>
        </w:tc>
        <w:tc>
          <w:tcPr>
            <w:tcW w:type="dxa" w:w="18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以正式概算为准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（一）费用科目与测算因子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科目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测算因子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控制方式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软件平台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模块、租户、并发、接口、部署和授权模式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功能清单与里程碑付款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模型/算力资源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模型单价、输入输出量、峰值、缓存和并发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预算上限、分级路由、月度对账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场景建设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场景数量、数据整理、集成、评测和培训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按任务书和效果验收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安全合规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定级、测评、内容安全、审计、密码和应急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根据实际范围配置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基础云网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计算、存储、数据库、带宽、专线和备份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资源监控与弹性扩缩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运营服务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客户成功、客服、活动、培训、内容和生态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服务量与经营KPI挂钩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第三方服务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可研、造价、测评、审计、绩效等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按程序采购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（二）财政支持工具建议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如采用Token券、算力券或服务券，建议将其界定为实名、限用途、限期限、不可转让和不可提现的服务额度。建立申请、审核、发放、调用、核销、抽查和绩效评价闭环；财政资金只对真实合规使用量结算，防止空转、套取和重复补贴。具体机制须由财政、数据、工信、审计等部门研究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十一、运营模式与城市发展效应</w:t>
      </w: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（一）运营产品与收入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产品线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服务对象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收费方式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公共价值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模型按量服务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企业、开发者、部门应用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预付、套餐、按量或框架协议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降低试用和接入门槛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知识库与智能体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政府、国企、重点企业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建设费+运维费+调用费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沉淀本地知识和业务能力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专属部署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高安全要求单位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项目费+资源费+运维费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兼顾安全与模型能力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场景解决方案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能源矿山、园区、公共服务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项目建设与持续服务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形成可复制行业产品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生态与培训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服务商、高校、人才和企业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培训、认证、联合服务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培育本地人才和服务业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（二）政府更应关注的六类发展效应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发展效应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作用机制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年度证据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产业升级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以低门槛AI服务帮助能源、制造和中小企业改造流程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应用企业、场景复用、效率改善案例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招商引资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把算力、模型、场景和服务能力形成可展示产品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落地项目、合作伙伴、场景开放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城市治理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形成统一、可审计的AI使用入口和管理规则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部门覆盖、合规率、问题闭环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公共服务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提升政策、办事和知识服务的可达性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服务人次、解决率、满意度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人才就业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以真实项目连接高校、培训机构和企业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培训认证、实训、岗位和团队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国资效能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通过市场化运营盘活数字基础设施和客户资源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本地资源利用、收入成本、资产回报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（三）运营月报结构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月报至少包含客户新增与留存、活跃组织和用户、模型和场景调用、资源成本与收入、预算执行、SLA与故障、安全告警与处置、工单满意度、本地资源使用、重点案例、风险和下月计划。政府绩效报告与企业经营报表分开呈现，避免只用调用量评价公共价值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十二、绩效指标与验收体系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维度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指标示例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口径/证据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试点建议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建设完成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模块和接口完成率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需求追踪矩阵、测试报告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范围内100%完成或经批准变更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用户使用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试点单位、活跃用户、留存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去重账户及有效调用日志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5家单位、20家企业为建议值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资源服务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接入模型、成功率、时延、可用性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网关和监控原始记录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不少于3个合规模型为建议值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计量经营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账单准确、成本可追溯、预算告警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原始调用与账单抽样复算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重大账单差错为0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场景效果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效率、准确、解决率、采用率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上线前基线与试运行数据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每场景单独确认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安全合规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高危漏洞、越权、日志完整、事件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测试、审计、演练和事件记录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重大安全事件为0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服务质量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工单响应、解决和满意度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工单系统、回访记录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按服务级别确认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（一）验收方式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采用“文档审查+功能测试+数据核对+场景效果评估+安全检查+运营复盘”六类证据。场景效果必须有上线前基线；不能取得基线的，至少采用抽样对照、专家评审或用户任务测试。对尚未达标但不影响安全和核心功能的指标，可形成限期整改；涉及数据违法、高风险越权或账单不可追溯的，不建议通过验收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十三、安全合规与可信使用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来源：S7；S8；S9。完整链接见附件五。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控制域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主要措施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责任主体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数据治理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数据目录、分类分级、合法来源、最小必要、保存期限、删除和出域审批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数据提供方+运营主体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身份权限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实名、组织认证、最小权限、强认证、密钥轮换、离职回收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模型供应商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资质、服务条款、数据是否训练/留存、区域、SLA、退出和审计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采购与技术团队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内容安全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输入输出检测、拒答、人工复核、投诉处置、生成内容标识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运营主体+供应商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网络与系统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隔离、加密、漏洞、备份、日志、监控、应急和供应链安全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运营主体+技术方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知识库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资料审批、权限继承、引用溯源、版本更新、过期下架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场景单位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高风险使用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人机边界、禁止自动决定、双人复核、醒目提示和责任留痕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业务责任部门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审计与事件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管理和调用日志、异常告警、事件分级、报告、复盘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运营主体</w:t>
            </w:r>
          </w:p>
        </w:tc>
      </w:tr>
    </w:tbl>
    <w:p>
      <w:pPr>
        <w:spacing w:after="0"/>
      </w:pPr>
    </w:p>
    <w:p>
      <w:pPr>
        <w:pStyle w:val="Heading2"/>
      </w:pPr>
      <w:r>
        <w:rPr>
          <w:rFonts w:ascii="Noto Sans CJK SC" w:hAnsi="Noto Sans CJK SC" w:eastAsia="Noto Sans CJK SC" w:cs="Noto Sans CJK SC" w:hint="eastAsia"/>
          <w:lang w:val="zh-CN" w:eastAsia="zh-CN"/>
        </w:rPr>
        <w:t>（一）数据与部署分级建议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数据级别/场景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建议方式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说明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公开信息、一般创作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经审查的合规云模型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仍需落实账号、内容和日志管理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企业内部一般资料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企业授权、脱敏、隔离知识库或专属实例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合同明确不训练、留存和删除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敏感个人信息、重要经营信息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严格评估，优先专属/本地部署和最小数据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依法取得授权并设置人工复核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涉密、重要数据或禁止外发资料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不得进入未经批准的外部模型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依现行法律制度和单位规定执行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生产控制、行政决定等高风险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AI仅辅助，结果须由责任人员确认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保留依据、过程和最终决定记录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十四、风险管理与停止条件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风险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预警信号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应对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停止/调整条件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主体不清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无人承担预算、客户和运维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先确定市属国企及授权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30日内仍无主体则暂停建设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需求不足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试点使用低、无业务责任人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缩小范围、重选场景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连续观察仍无有效使用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资源闲置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提前采购硬件、无稳定负载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云资源优先、按量扩容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无可验证需求不得购大规模GPU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成本失控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模型单价变动、异常调用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预算、限额、路由、预警和对账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成本无法追溯或超预算未审批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数据安全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越权、敏感数据外发、日志缺失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隔离、封禁、应急和调查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发生重大事件立即停相关服务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供应商锁定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接口封闭、迁移困难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统一协议、源代码/数据交接条款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无法满足退出和迁移要求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效果不可靠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幻觉、引用错误、用户误用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评测、引用、人工确认和培训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高风险场景无法建立人机边界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补贴依赖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只用免费额度、无付费意愿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分层定价、控制补贴、验证转化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运营模型长期不可持续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十五、提请政府协调与决策事项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8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序号</w:t>
            </w:r>
          </w:p>
        </w:tc>
        <w:tc>
          <w:tcPr>
            <w:tcW w:type="dxa" w:w="4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事项</w:t>
            </w:r>
          </w:p>
        </w:tc>
        <w:tc>
          <w:tcPr>
            <w:tcW w:type="dxa" w:w="2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建议形成的书面结果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明确市级牵头部门和跨部门协调机制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会议纪要或专班通知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明确候选项目业主及市属国企运营主体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授权调研或项目任务书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协调三至五家首批场景单位和业务责任人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场景征集清单及联系人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4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协调运营商、数据中心核验资源和价格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资源盘点与询价记录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5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明确财政资金、国企投资或市场化投入路径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资金路径意见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6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指导数据、网信、公安、保密等合规边界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合规问题清单和办理路径</w:t>
            </w:r>
          </w:p>
        </w:tc>
      </w:tr>
      <w:tr>
        <w:trPr>
          <w:cantSplit/>
        </w:trPr>
        <w:tc>
          <w:tcPr>
            <w:tcW w:type="dxa" w:w="18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7</w:t>
            </w:r>
          </w:p>
        </w:tc>
        <w:tc>
          <w:tcPr>
            <w:tcW w:type="dxa" w:w="4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同意开展90天可控试点及联合评价</w:t>
            </w:r>
          </w:p>
        </w:tc>
        <w:tc>
          <w:tcPr>
            <w:tcW w:type="dxa" w:w="29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试点方案和验收组</w:t>
            </w:r>
          </w:p>
        </w:tc>
      </w:tr>
    </w:tbl>
    <w:p>
      <w:pPr>
        <w:spacing w:after="0"/>
      </w:pPr>
    </w:p>
    <w:tbl>
      <w:tblPr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89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89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 xml:space="preserve">建议会后十个工作日内完成　</w:t>
            </w: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成立联合工作组；发出资源和场景调研表；确定一次专题论证会；冻结试点范围并形成V2投资测算。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十六、结论与推进建议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淮南具备建设人工智能公共服务平台的政策方向、数字基础设施和产业场景条件，但项目成败取决于运营主体、真实需求、安全边界和经营机制，而不是平台页面或接入模型的数量。建议政府以城市发展效应为目标，以市属国企市场化运营为抓手，以90天试点数据为决策依据，形成“资源—平台—场景—客户—产业”的闭环。</w:t>
      </w:r>
    </w:p>
    <w:p>
      <w:pPr>
        <w:ind w:firstLine="420"/>
      </w:pPr>
      <w:r>
        <w:rPr>
          <w:rFonts w:ascii="Noto Sans CJK SC" w:hAnsi="Noto Sans CJK SC" w:eastAsia="Noto Sans CJK SC" w:cs="Noto Sans CJK SC" w:hint="eastAsia"/>
          <w:b w:val="0"/>
          <w:sz w:val="24"/>
          <w:lang w:val="zh-CN" w:eastAsia="zh-CN"/>
        </w:rPr>
        <w:t>近期不宜直接承诺大规模投资。应先完成联合调研和可控试点，用真实调用、用户留存、场景效果、账单准确和安全记录回答五个问题：有没有人用、是否持续使用、是否产生价值、成本能否控制、责任是否清楚。达到条件后，再进入可研、采购和规模化建设。</w:t>
      </w:r>
    </w:p>
    <w:p>
      <w:r>
        <w:rPr>
          <w:rFonts w:ascii="Noto Sans CJK SC" w:hAnsi="Noto Sans CJK SC" w:eastAsia="Noto Sans CJK SC" w:cs="Noto Sans CJK SC" w:hint="eastAsia"/>
          <w:lang w:val="zh-CN" w:eastAsia="zh-CN"/>
        </w:rPr>
        <w:br w:type="page"/>
      </w:r>
    </w:p>
    <w:p>
      <w:pPr>
        <w:pStyle w:val="Heading1"/>
        <w:pageBreakBefore/>
      </w:pPr>
      <w:r>
        <w:rPr>
          <w:rFonts w:ascii="Noto Sans CJK SC" w:hAnsi="Noto Sans CJK SC" w:eastAsia="Noto Sans CJK SC" w:cs="Noto Sans CJK SC" w:hint="eastAsia"/>
          <w:lang w:val="zh-CN" w:eastAsia="zh-CN"/>
        </w:rPr>
        <w:t>数据附录一：2025年经济结构与城市发展底盘</w:t>
      </w:r>
    </w:p>
    <w:p>
      <w:pPr>
        <w:keepNext/>
      </w:pPr>
      <w:r>
        <w:rPr>
          <w:rFonts w:ascii="Noto Sans CJK SC" w:hAnsi="Noto Sans CJK SC" w:eastAsia="Noto Sans CJK SC" w:cs="Noto Sans CJK SC" w:hint="eastAsia"/>
          <w:lang w:val="zh-CN" w:eastAsia="zh-CN"/>
        </w:rPr>
        <w:t>淮南2025年地区生产总值达到1750.1亿元，同比增长4.6%。第三产业占比54.7%，说明知识服务、企业服务和公共服务已具备更大的人工智能应用承载空间；第二产业仍是能源、制造场景形成城市辨识度的重要基础。</w:t>
      </w:r>
    </w:p>
    <w:tbl>
      <w:tblPr>
        <w:tblW w:type="dxa" w:w="890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tblHeader w:val="true"/>
        </w:trP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指标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公开数据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对项目的意义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地区生产总值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1750.1亿元，同比增长4.6%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具备城市级公共服务平台的经济承载基础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第一产业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152.8亿元，增长3.5%，占8.7%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可关注农业经营与公共服务的普惠工具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第二产业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641.1亿元，增长2.1%，占36.6%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能源、矿山和制造应成为特色场景主线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第三产业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956.2亿元，增长6.7%，占54.7%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企业服务、知识服务与治理场景空间更大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一般公共预算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收入139.0亿元；支出345.4亿元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必须坚持小步试点、分期决策和市场化运营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科学技术支出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同比增长15.8%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可通过示范场景和首用支持形成政策协同</w:t>
            </w:r>
          </w:p>
        </w:tc>
      </w:tr>
    </w:tbl>
    <w:p>
      <w:pPr>
        <w:spacing w:before="160" w:after="200" w:line="300" w:lineRule="auto"/>
        <w:ind w:left="198" w:right="113"/>
        <w:shd w:fill="F2EEE5"/>
        <w:pBdr>
          <w:left w:val="single" w:sz="18" w:space="8" w:color="B9893D"/>
        </w:pBdr>
      </w:pPr>
      <w:r>
        <w:rPr>
          <w:rFonts w:ascii="Noto Sans CJK SC" w:hAnsi="Noto Sans CJK SC" w:eastAsia="Noto Sans CJK SC" w:cs="Noto Sans CJK SC" w:hint="eastAsia"/>
          <w:b/>
          <w:color w:val="B9893D"/>
          <w:sz w:val="21"/>
          <w:lang w:val="zh-CN" w:eastAsia="zh-CN"/>
        </w:rPr>
        <w:t xml:space="preserve">本页判断　</w:t>
      </w:r>
      <w:r>
        <w:rPr>
          <w:rFonts w:ascii="Noto Sans CJK SC" w:hAnsi="Noto Sans CJK SC" w:eastAsia="Noto Sans CJK SC" w:cs="Noto Sans CJK SC" w:hint="eastAsia"/>
          <w:b/>
          <w:color w:val="24364A"/>
          <w:sz w:val="22"/>
          <w:lang w:val="zh-CN" w:eastAsia="zh-CN"/>
        </w:rPr>
        <w:t>场景组合应同时覆盖能源工业、先进制造和企业服务，不能只围绕算力供给。</w:t>
      </w:r>
    </w:p>
    <w:p>
      <w:pPr>
        <w:spacing w:before="100" w:after="160"/>
      </w:pPr>
      <w:r>
        <w:rPr>
          <w:rFonts w:ascii="Noto Sans CJK SC" w:hAnsi="Noto Sans CJK SC" w:eastAsia="Noto Sans CJK SC" w:cs="Noto Sans CJK SC" w:hint="eastAsia"/>
          <w:color w:val="6C675F"/>
          <w:sz w:val="17"/>
          <w:lang w:val="zh-CN" w:eastAsia="zh-CN"/>
        </w:rPr>
        <w:t>来源：S11。数据来自淮南市统计局《淮南市2025年国民经济和社会发展统计公报》。</w:t>
      </w:r>
    </w:p>
    <w:p>
      <w:pPr>
        <w:pStyle w:val="Heading1"/>
        <w:pageBreakBefore/>
      </w:pPr>
      <w:r>
        <w:rPr>
          <w:rFonts w:ascii="Noto Sans CJK SC" w:hAnsi="Noto Sans CJK SC" w:eastAsia="Noto Sans CJK SC" w:cs="Noto Sans CJK SC" w:hint="eastAsia"/>
          <w:lang w:val="zh-CN" w:eastAsia="zh-CN"/>
        </w:rPr>
        <w:t>数据附录二：产业新动能与2030产业方向</w:t>
      </w:r>
    </w:p>
    <w:p>
      <w:pPr>
        <w:keepNext/>
      </w:pPr>
      <w:r>
        <w:rPr>
          <w:rFonts w:ascii="Noto Sans CJK SC" w:hAnsi="Noto Sans CJK SC" w:eastAsia="Noto Sans CJK SC" w:cs="Noto Sans CJK SC" w:hint="eastAsia"/>
          <w:lang w:val="zh-CN" w:eastAsia="zh-CN"/>
        </w:rPr>
        <w:t>汽车制造、装备制造、电子信息等行业增长明显，信息软件业和科技服务业投资增速较高。平台应把增长较快的产业链转化为可复制的模型服务、知识库、智能体和场景解决方案。</w:t>
      </w:r>
    </w:p>
    <w:tbl>
      <w:tblPr>
        <w:tblW w:type="dxa" w:w="890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tblHeader w:val="true"/>
        </w:trP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增长信号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公开增速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平台场景方向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汽车制造业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+140.2%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质量、供应链、设备与营销智能化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装备制造业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+32.3%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设备知识、检修辅助与技术文档服务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计算机通信电子制造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+24.7%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研发知识、生产协同和数据分析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电子信息和家电增加值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+15.2%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企业AI工作台与客户服务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信息软件业投资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+90.8%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本地开发、评测、数据治理和运营生态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科技服务业投资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+76.8%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培育专业服务商和技术成果转化能力</w:t>
            </w:r>
          </w:p>
        </w:tc>
      </w:tr>
    </w:tbl>
    <w:p>
      <w:pPr>
        <w:spacing w:before="160" w:after="200" w:line="300" w:lineRule="auto"/>
        <w:ind w:left="198" w:right="113"/>
        <w:shd w:fill="F2EEE5"/>
        <w:pBdr>
          <w:left w:val="single" w:sz="18" w:space="8" w:color="B9893D"/>
        </w:pBdr>
      </w:pPr>
      <w:r>
        <w:rPr>
          <w:rFonts w:ascii="Noto Sans CJK SC" w:hAnsi="Noto Sans CJK SC" w:eastAsia="Noto Sans CJK SC" w:cs="Noto Sans CJK SC" w:hint="eastAsia"/>
          <w:b/>
          <w:color w:val="B9893D"/>
          <w:sz w:val="21"/>
          <w:lang w:val="zh-CN" w:eastAsia="zh-CN"/>
        </w:rPr>
        <w:t xml:space="preserve">2030产业映射　</w:t>
      </w:r>
      <w:r>
        <w:rPr>
          <w:rFonts w:ascii="Noto Sans CJK SC" w:hAnsi="Noto Sans CJK SC" w:eastAsia="Noto Sans CJK SC" w:cs="Noto Sans CJK SC" w:hint="eastAsia"/>
          <w:b/>
          <w:color w:val="24364A"/>
          <w:sz w:val="22"/>
          <w:lang w:val="zh-CN" w:eastAsia="zh-CN"/>
        </w:rPr>
        <w:t>围绕9大新兴产业、5大未来产业和传统产业焕新配置项目资源；到2030年，战新产业产值占规上工业比重目标为30%。</w:t>
      </w:r>
    </w:p>
    <w:p>
      <w:pPr>
        <w:spacing w:before="100" w:after="160"/>
      </w:pPr>
      <w:r>
        <w:rPr>
          <w:rFonts w:ascii="Noto Sans CJK SC" w:hAnsi="Noto Sans CJK SC" w:eastAsia="Noto Sans CJK SC" w:cs="Noto Sans CJK SC" w:hint="eastAsia"/>
          <w:color w:val="6C675F"/>
          <w:sz w:val="17"/>
          <w:lang w:val="zh-CN" w:eastAsia="zh-CN"/>
        </w:rPr>
        <w:t>来源：S11；S13。2025年增长数据来自统计公报，产业方向来自淮南市2026年政府工作报告。</w:t>
      </w:r>
    </w:p>
    <w:p>
      <w:pPr>
        <w:pStyle w:val="Heading1"/>
        <w:pageBreakBefore/>
      </w:pPr>
      <w:r>
        <w:rPr>
          <w:rFonts w:ascii="Noto Sans CJK SC" w:hAnsi="Noto Sans CJK SC" w:eastAsia="Noto Sans CJK SC" w:cs="Noto Sans CJK SC" w:hint="eastAsia"/>
          <w:lang w:val="zh-CN" w:eastAsia="zh-CN"/>
        </w:rPr>
        <w:t>数据附录三：数据资源与政务服务基础</w:t>
      </w:r>
    </w:p>
    <w:p>
      <w:pPr>
        <w:keepNext/>
      </w:pPr>
      <w:r>
        <w:rPr>
          <w:rFonts w:ascii="Noto Sans CJK SC" w:hAnsi="Noto Sans CJK SC" w:eastAsia="Noto Sans CJK SC" w:cs="Noto Sans CJK SC" w:hint="eastAsia"/>
          <w:lang w:val="zh-CN" w:eastAsia="zh-CN"/>
        </w:rPr>
        <w:t>淮南已经拥有可被人工智能公共服务平台复用的数据、云网和政务服务基础。下一步重点不是继续堆叠入口，而是在既有体系上增加模型能力、权限控制、计量结算、审计和持续运营。</w:t>
      </w:r>
    </w:p>
    <w:tbl>
      <w:tblPr>
        <w:tblW w:type="dxa" w:w="890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tblHeader w:val="true"/>
        </w:trP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基础类别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公开指标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建设启示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数据资源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全市数据资源总量61.9亿条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建立合规目录、授权与场景审核机制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数据服务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已发布数据服务9771万个，累计共享调用1364万次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可复用既有共享交换和服务体系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产业生态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大数据企业近600家，预计产业产值155亿元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具备本地伙伴、客户和服务商基础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省级企业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省级大数据企业33家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可形成首批生态伙伴和联合解决方案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政务事项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7.1万项政务事项应进尽进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优先建设政策与办事知识服务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系统连接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35个部门103个业务系统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平台应通过接口和权限机制增量接入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皖事通用户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222.9万用户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形成广泛公共服务触达基础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政策兑现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4.23亿元，惠及1664家企业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惠企政策助手具备真实业务场景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政务云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40余家单位、108个系统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优先复用现有云网和安全体系</w:t>
            </w:r>
          </w:p>
        </w:tc>
      </w:tr>
    </w:tbl>
    <w:p>
      <w:pPr>
        <w:spacing w:before="160" w:after="200" w:line="300" w:lineRule="auto"/>
        <w:ind w:left="198" w:right="113"/>
        <w:shd w:fill="F2EEE5"/>
        <w:pBdr>
          <w:left w:val="single" w:sz="18" w:space="8" w:color="B9893D"/>
        </w:pBdr>
      </w:pPr>
      <w:r>
        <w:rPr>
          <w:rFonts w:ascii="Noto Sans CJK SC" w:hAnsi="Noto Sans CJK SC" w:eastAsia="Noto Sans CJK SC" w:cs="Noto Sans CJK SC" w:hint="eastAsia"/>
          <w:b/>
          <w:color w:val="B9893D"/>
          <w:sz w:val="21"/>
          <w:lang w:val="zh-CN" w:eastAsia="zh-CN"/>
        </w:rPr>
        <w:t xml:space="preserve">本页判断　</w:t>
      </w:r>
      <w:r>
        <w:rPr>
          <w:rFonts w:ascii="Noto Sans CJK SC" w:hAnsi="Noto Sans CJK SC" w:eastAsia="Noto Sans CJK SC" w:cs="Noto Sans CJK SC" w:hint="eastAsia"/>
          <w:b/>
          <w:color w:val="24364A"/>
          <w:sz w:val="22"/>
          <w:lang w:val="zh-CN" w:eastAsia="zh-CN"/>
        </w:rPr>
        <w:t>Token超市应复用既有云网、数据目录和政务服务体系，避免重复建设。</w:t>
      </w:r>
    </w:p>
    <w:p>
      <w:pPr>
        <w:spacing w:before="100" w:after="160"/>
      </w:pPr>
      <w:r>
        <w:rPr>
          <w:rFonts w:ascii="Noto Sans CJK SC" w:hAnsi="Noto Sans CJK SC" w:eastAsia="Noto Sans CJK SC" w:cs="Noto Sans CJK SC" w:hint="eastAsia"/>
          <w:color w:val="6C675F"/>
          <w:sz w:val="17"/>
          <w:lang w:val="zh-CN" w:eastAsia="zh-CN"/>
        </w:rPr>
        <w:t>来源：S12。数据来自淮南市政府公开的数据资源与政务服务综述。</w:t>
      </w:r>
    </w:p>
    <w:p>
      <w:pPr>
        <w:pStyle w:val="Heading1"/>
        <w:pageBreakBefore/>
      </w:pPr>
      <w:r>
        <w:rPr>
          <w:rFonts w:ascii="Noto Sans CJK SC" w:hAnsi="Noto Sans CJK SC" w:eastAsia="Noto Sans CJK SC" w:cs="Noto Sans CJK SC" w:hint="eastAsia"/>
          <w:lang w:val="zh-CN" w:eastAsia="zh-CN"/>
        </w:rPr>
        <w:t>数据附录四：服务对象、创新基础与数据资产路径</w:t>
      </w:r>
    </w:p>
    <w:p>
      <w:pPr>
        <w:keepNext/>
      </w:pPr>
      <w:r>
        <w:rPr>
          <w:rFonts w:ascii="Noto Sans CJK SC" w:hAnsi="Noto Sans CJK SC" w:eastAsia="Noto Sans CJK SC" w:cs="Noto Sans CJK SC" w:hint="eastAsia"/>
          <w:lang w:val="zh-CN" w:eastAsia="zh-CN"/>
        </w:rPr>
        <w:t>宏观数据证明潜在服务对象足够广，但不等于实际付费需求。项目必须以真实活跃、场景效果、付费转化和公共价值作为扩容条件，并建立公共数据授权运营的全过程控制。</w:t>
      </w:r>
    </w:p>
    <w:tbl>
      <w:tblPr>
        <w:tblW w:type="dxa" w:w="8900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4200"/>
        <w:gridCol w:w="2900"/>
      </w:tblGrid>
      <w:tr>
        <w:trPr>
          <w:tblHeader w:val="true"/>
          <w:tblHeader w:val="true"/>
        </w:trP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服务或创新基础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公开指标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173E6B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建议验证方式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全市经营主体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34.3万户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按行业和规模分层招募，不以注册数推算收入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常住人口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300.0万人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公共服务场景以覆盖、解决率和满意度评价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5G移动电话用户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241.82万户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验证移动端触达和高频轻量服务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互联网宽带用户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146.53万户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验证企业与家庭数字服务基础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有效发明专利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6062件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BF7EE"/>
          </w:tcPr>
          <w:p>
            <w:pPr>
              <w:spacing w:before="0" w:after="0" w:line="276" w:lineRule="auto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连接高校、科研、知识产权与成果转化服务</w:t>
            </w:r>
          </w:p>
        </w:tc>
      </w:tr>
      <w:t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输出技术合同成交额</w:t>
            </w:r>
          </w:p>
        </w:tc>
        <w:tc>
          <w:tcPr>
            <w:tcW w:type="dxa" w:w="4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125.6亿元</w:t>
            </w:r>
          </w:p>
        </w:tc>
        <w:tc>
          <w:tcPr>
            <w:tcW w:type="dxa" w:w="2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EE5"/>
          </w:tcPr>
          <w:p>
            <w:pPr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连接技术交易、专业服务和招商项目</w:t>
            </w:r>
          </w:p>
        </w:tc>
      </w:tr>
    </w:tbl>
    <w:p>
      <w:pPr>
        <w:spacing w:before="160" w:after="200" w:line="300" w:lineRule="auto"/>
        <w:ind w:left="198" w:right="113"/>
        <w:shd w:fill="F2EEE5"/>
        <w:pBdr>
          <w:left w:val="single" w:sz="18" w:space="8" w:color="B9893D"/>
        </w:pBdr>
      </w:pPr>
      <w:r>
        <w:rPr>
          <w:rFonts w:ascii="Noto Sans CJK SC" w:hAnsi="Noto Sans CJK SC" w:eastAsia="Noto Sans CJK SC" w:cs="Noto Sans CJK SC" w:hint="eastAsia"/>
          <w:b/>
          <w:color w:val="B9893D"/>
          <w:sz w:val="21"/>
          <w:lang w:val="zh-CN" w:eastAsia="zh-CN"/>
        </w:rPr>
        <w:t xml:space="preserve">数据资产运营路径　</w:t>
      </w:r>
      <w:r>
        <w:rPr>
          <w:rFonts w:ascii="Noto Sans CJK SC" w:hAnsi="Noto Sans CJK SC" w:eastAsia="Noto Sans CJK SC" w:cs="Noto Sans CJK SC" w:hint="eastAsia"/>
          <w:b/>
          <w:color w:val="24364A"/>
          <w:sz w:val="22"/>
          <w:lang w:val="zh-CN" w:eastAsia="zh-CN"/>
        </w:rPr>
        <w:t>建议采用“合规登记—授权运营—场景审核—产品服务—收益评价”的闭环；落实一方案一审核，明确使用范围、加工方式和安全措施。</w:t>
      </w:r>
    </w:p>
    <w:p>
      <w:pPr>
        <w:spacing w:before="100" w:after="160"/>
      </w:pPr>
      <w:r>
        <w:rPr>
          <w:rFonts w:ascii="Noto Sans CJK SC" w:hAnsi="Noto Sans CJK SC" w:eastAsia="Noto Sans CJK SC" w:cs="Noto Sans CJK SC" w:hint="eastAsia"/>
          <w:color w:val="6C675F"/>
          <w:sz w:val="17"/>
          <w:lang w:val="zh-CN" w:eastAsia="zh-CN"/>
        </w:rPr>
        <w:t>来源：S11；S14。宏观指标来自统计公报，数据资产路径参考淮南市级数据资产全过程管理试点方案。</w:t>
      </w: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附件一：90天试点任务书（建议稿）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67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项目</w:t>
            </w:r>
          </w:p>
        </w:tc>
        <w:tc>
          <w:tcPr>
            <w:tcW w:type="dxa" w:w="6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内容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试点目标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验证统一接入、计量结算、安全治理、运营服务和三个场景的可行性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建议范围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3—8个合规模型、5家左右试点单位、20家左右企业用户、3个场景；均待调研确认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主要成果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试点平台、场景应用、制度流程、资源台账、测试与安全材料、运营和评估报告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验收主体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项目业主牵头，场景单位、主管部门和必要第三方参与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重大边界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不发行虚拟资产；不采购大规模GPU；高风险业务不自动决策；规划算力不计入可用资源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决策门槛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真实持续使用、账单可追溯、场景有证据、安全可控、运营主体具备服务能力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附件二：RACI责任矩阵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555555"/>
          <w:sz w:val="21"/>
          <w:lang w:val="zh-CN" w:eastAsia="zh-CN"/>
        </w:rPr>
        <w:t>R=执行，A=最终负责，C=协商，I=知会。具体部门名称待项目组织确认。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1500"/>
        <w:gridCol w:w="1650"/>
        <w:gridCol w:w="1500"/>
        <w:gridCol w:w="1450"/>
        <w:gridCol w:w="16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事项</w:t>
            </w:r>
          </w:p>
        </w:tc>
        <w:tc>
          <w:tcPr>
            <w:tcW w:type="dxa" w:w="15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牵头部门</w:t>
            </w:r>
          </w:p>
        </w:tc>
        <w:tc>
          <w:tcPr>
            <w:tcW w:type="dxa" w:w="16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项目业主/国企</w:t>
            </w:r>
          </w:p>
        </w:tc>
        <w:tc>
          <w:tcPr>
            <w:tcW w:type="dxa" w:w="15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技术方</w:t>
            </w:r>
          </w:p>
        </w:tc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资源方</w:t>
            </w:r>
          </w:p>
        </w:tc>
        <w:tc>
          <w:tcPr>
            <w:tcW w:type="dxa" w:w="16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6"/>
                <w:lang w:val="zh-CN" w:eastAsia="zh-CN"/>
              </w:rPr>
              <w:t>场景单位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项目决策与政策协调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投资采购与合同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A/R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平台建设与运维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资源服务与SLA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数据合法性与场景效果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A/R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平台安全与事件处置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客户经营与财务结算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A/R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I</w:t>
            </w:r>
          </w:p>
        </w:tc>
      </w:tr>
      <w:tr>
        <w:trPr>
          <w:cantSplit/>
        </w:trPr>
        <w:tc>
          <w:tcPr>
            <w:tcW w:type="dxa" w:w="1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验收和绩效评价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A</w:t>
            </w:r>
          </w:p>
        </w:tc>
        <w:tc>
          <w:tcPr>
            <w:tcW w:type="dxa" w:w="16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  <w:tc>
          <w:tcPr>
            <w:tcW w:type="dxa" w:w="15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C</w:t>
            </w:r>
          </w:p>
        </w:tc>
        <w:tc>
          <w:tcPr>
            <w:tcW w:type="dxa" w:w="16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6"/>
                <w:lang w:val="zh-CN" w:eastAsia="zh-CN"/>
              </w:rPr>
              <w:t>R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附件三：场景访谈与数据请求清单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67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类别</w:t>
            </w:r>
          </w:p>
        </w:tc>
        <w:tc>
          <w:tcPr>
            <w:tcW w:type="dxa" w:w="6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问题/材料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业务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任务频次、处理时长、责任人、现有流程、痛点、旺季和异常情况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用户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使用人群、数量、技能、权限、设备和培训需求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数据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资料目录、权属、敏感级别、格式、更新频率、样本与质量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系统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现有系统、接口、身份认证、网络域、日志和集成限制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效果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上线前基线、目标、抽样方法、验收人、允许误差和人工复核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合规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是否涉密、个人信息、重要数据、外发限制、留存与删除要求</w:t>
            </w:r>
          </w:p>
        </w:tc>
      </w:tr>
      <w:tr>
        <w:trPr>
          <w:cantSplit/>
        </w:trP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经营</w:t>
            </w:r>
          </w:p>
        </w:tc>
        <w:tc>
          <w:tcPr>
            <w:tcW w:type="dxa" w:w="6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left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预算来源、采购路径、服务期限、付费意愿和可复制单位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附件四：立项前核验清单</w:t>
      </w:r>
    </w:p>
    <w:tbl>
      <w:tblPr>
        <w:tblStyle w:val="TableGrid"/>
        <w:tblW w:type="dxa" w:w="8900"/>
        <w:jc w:val="center"/>
        <w:tblLayout w:type="fixed"/>
        <w:tblLook w:firstColumn="1" w:firstRow="1" w:lastColumn="0" w:lastRow="0" w:noHBand="0" w:noVBand="1" w:val="04A0"/>
        <w:tblInd w:w="120" w:type="dxa"/>
      </w:tblPr>
      <w:tblGrid>
        <w:gridCol w:w="1450"/>
        <w:gridCol w:w="2700"/>
        <w:gridCol w:w="2550"/>
        <w:gridCol w:w="2200"/>
      </w:tblGrid>
      <w:tr>
        <w:trPr>
          <w:tblHeader w:val="true"/>
          <w:cantSplit/>
          <w:tblHeader w:val="true"/>
          <w:tblHeader w:val="true"/>
        </w:trPr>
        <w:tc>
          <w:tcPr>
            <w:tcW w:type="dxa" w:w="14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核验项</w:t>
            </w:r>
          </w:p>
        </w:tc>
        <w:tc>
          <w:tcPr>
            <w:tcW w:type="dxa" w:w="27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状态</w:t>
            </w:r>
          </w:p>
        </w:tc>
        <w:tc>
          <w:tcPr>
            <w:tcW w:type="dxa" w:w="255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责任建议</w:t>
            </w:r>
          </w:p>
        </w:tc>
        <w:tc>
          <w:tcPr>
            <w:tcW w:type="dxa" w:w="2200"/>
            <w:shd w:fill="173E6B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/>
                <w:color w:val="FFFFFF"/>
                <w:sz w:val="18"/>
                <w:lang w:val="zh-CN" w:eastAsia="zh-CN"/>
              </w:rPr>
              <w:t>证明材料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牵头部门与运营主体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待确认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市政府有关部门/国资系统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书面授权或会议纪要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现有可用算力与价格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待核验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运营商/数据中心/技术组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资源清单、测试和报价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首批场景与数据边界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待确认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场景单位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任务书、数据清单、合规意见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部署与安全范围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待确认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业主/安全单位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架构、定级和合规路线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投资和采购路径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待确认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业主/财政/采购部门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测算和采购意见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资产、知识产权与退出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待协商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业主/法务/技术方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2EEE5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合同核心条款</w:t>
            </w:r>
          </w:p>
        </w:tc>
      </w:tr>
      <w:tr>
        <w:trPr>
          <w:cantSplit/>
        </w:trPr>
        <w:tc>
          <w:tcPr>
            <w:tcW w:type="dxa" w:w="14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KPI与验收基线</w:t>
            </w:r>
          </w:p>
        </w:tc>
        <w:tc>
          <w:tcPr>
            <w:tcW w:type="dxa" w:w="27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待采集</w:t>
            </w:r>
          </w:p>
        </w:tc>
        <w:tc>
          <w:tcPr>
            <w:tcW w:type="dxa" w:w="255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业主/场景单位</w:t>
            </w:r>
          </w:p>
        </w:tc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  <w:shd w:fill="FBF7EE"/>
          </w:tcPr>
          <w:p>
            <w:pPr>
              <w:spacing w:after="0" w:before="0" w:line="276" w:lineRule="auto"/>
              <w:ind w:firstLine="0"/>
              <w:jc w:val="center"/>
            </w:pPr>
            <w:r>
              <w:rPr>
                <w:rFonts w:ascii="Noto Sans CJK SC" w:hAnsi="Noto Sans CJK SC" w:eastAsia="Noto Sans CJK SC" w:cs="Noto Sans CJK SC" w:hint="eastAsia"/>
                <w:b w:val="0"/>
                <w:color w:val="24364A"/>
                <w:sz w:val="18"/>
                <w:lang w:val="zh-CN" w:eastAsia="zh-CN"/>
              </w:rPr>
              <w:t>基线报告与验收方案</w:t>
            </w:r>
          </w:p>
        </w:tc>
      </w:tr>
    </w:tbl>
    <w:p>
      <w:pPr>
        <w:spacing w:after="0"/>
      </w:pPr>
    </w:p>
    <w:p>
      <w:pPr>
        <w:pStyle w:val="Heading1"/>
      </w:pPr>
      <w:r>
        <w:rPr>
          <w:rFonts w:ascii="Noto Sans CJK SC" w:hAnsi="Noto Sans CJK SC" w:eastAsia="Noto Sans CJK SC" w:cs="Noto Sans CJK SC" w:hint="eastAsia"/>
          <w:lang w:val="zh-CN" w:eastAsia="zh-CN"/>
        </w:rPr>
        <w:t>附件五：公开资料与引用来源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[S1] 国务院《关于深入实施“人工智能+”行动的意见》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https://www.gov.cn/zhengce/content/202508/content_7037861.htm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[S2] 国家发展改革委等《国家数据基础设施建设指引》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https://www.ndrc.gov.cn/xwdt/tzgg/202501/t20250106_1395457_ext.html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[S3] 国家数据局《国家数据标准体系建设指南》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https://www.nda.gov.cn/sjj/swdt/sjdt/1009/20241009100606869081166_pc.html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[S4] 国家数据局《关于促进数据产业高质量发展的指导意见》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https://www.nda.gov.cn/sjj/xxgk/gknr/qtzc/1230/20241230172333848733488_pc.html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[S5] 淮南市数据资源管理局《“数字淮南”建设三年行动方案（2024—2026年）》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https://sjzyj.huainan.gov.cn/public/118319865/1260648433.html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[S6] 无锡市人民政府：全国首个城市级“Token超市”相关报道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https://www.wuxi.gov.cn/doc/2026/05/20/4779677.shtml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[S7] 网信中国《生成式人工智能服务管理暂行办法》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https://www.cac.gov.cn/2023-07/13/c_1690898327029107.htm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[S8] 国务院《网络数据安全管理条例》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https://app.www.gov.cn/govdata/gov/202409/30/520076/article.html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[S9] 网信中国《人工智能生成合成内容标识办法》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https://www.cac.gov.cn/2025-03/14/c_1743654684782215.htm</w:t>
      </w:r>
    </w:p>
    <w:p>
      <w:pPr>
        <w:spacing w:after="140"/>
        <w:ind w:firstLine="0" w:left="170"/>
      </w:pPr>
      <w:r>
        <w:rPr>
          <w:rFonts w:ascii="Noto Sans CJK SC" w:hAnsi="Noto Sans CJK SC" w:eastAsia="Noto Sans CJK SC" w:cs="Noto Sans CJK SC" w:hint="eastAsia"/>
          <w:b/>
          <w:color w:val="163A63"/>
          <w:sz w:val="21"/>
          <w:lang w:val="zh-CN" w:eastAsia="zh-CN"/>
        </w:rPr>
        <w:t>[S10] 无锡观察转引国家数据局公开数据：全国日均Token调用量变化</w:t>
        <w:br/>
      </w:r>
      <w:r>
        <w:rPr>
          <w:rFonts w:ascii="Noto Sans CJK SC" w:hAnsi="Noto Sans CJK SC" w:eastAsia="Noto Sans CJK SC" w:cs="Noto Sans CJK SC" w:hint="eastAsia"/>
          <w:b w:val="0"/>
          <w:color w:val="35608A"/>
          <w:sz w:val="17"/>
          <w:u w:val="single"/>
          <w:lang w:val="zh-CN" w:eastAsia="zh-CN"/>
        </w:rPr>
        <w:t>https://www.jswx.gov.cn/xinxi/qiangsheng/202606/t20260603_1335160.shtml</w:t>
      </w:r>
    </w:p>
    <w:p>
      <w:pPr>
        <w:spacing w:after="120"/>
      </w:pPr>
      <w:r>
        <w:rPr>
          <w:rFonts w:ascii="Noto Sans CJK SC" w:hAnsi="Noto Sans CJK SC" w:eastAsia="Noto Sans CJK SC" w:cs="Noto Sans CJK SC" w:hint="eastAsia"/>
          <w:b/>
          <w:color w:val="24364A"/>
          <w:sz w:val="18"/>
          <w:lang w:val="zh-CN" w:eastAsia="zh-CN"/>
        </w:rPr>
        <w:t>[S11] 淮南市统计局《淮南市2025年国民经济和社会发展统计公报》</w:t>
        <w:br/>
      </w:r>
      <w:r>
        <w:rPr>
          <w:rFonts w:ascii="Noto Sans CJK SC" w:hAnsi="Noto Sans CJK SC" w:eastAsia="Noto Sans CJK SC" w:cs="Noto Sans CJK SC" w:hint="eastAsia"/>
          <w:color w:val="235986"/>
          <w:sz w:val="17"/>
          <w:lang w:val="zh-CN" w:eastAsia="zh-CN"/>
        </w:rPr>
        <w:t>https://tjj.huainan.gov.cn/zxfbyjd/551865247.html</w:t>
      </w:r>
    </w:p>
    <w:p>
      <w:pPr>
        <w:spacing w:after="120"/>
      </w:pPr>
      <w:r>
        <w:rPr>
          <w:rFonts w:ascii="Noto Sans CJK SC" w:hAnsi="Noto Sans CJK SC" w:eastAsia="Noto Sans CJK SC" w:cs="Noto Sans CJK SC" w:hint="eastAsia"/>
          <w:b/>
          <w:color w:val="24364A"/>
          <w:sz w:val="18"/>
          <w:lang w:val="zh-CN" w:eastAsia="zh-CN"/>
        </w:rPr>
        <w:t>[S12] 淮南市政府：数据资源与政务服务公开综述</w:t>
        <w:br/>
      </w:r>
      <w:r>
        <w:rPr>
          <w:rFonts w:ascii="Noto Sans CJK SC" w:hAnsi="Noto Sans CJK SC" w:eastAsia="Noto Sans CJK SC" w:cs="Noto Sans CJK SC" w:hint="eastAsia"/>
          <w:color w:val="235986"/>
          <w:sz w:val="17"/>
          <w:lang w:val="zh-CN" w:eastAsia="zh-CN"/>
        </w:rPr>
        <w:t>https://www.huainan.gov.cn/zwgk/bmdt/1260829306.html</w:t>
      </w:r>
    </w:p>
    <w:p>
      <w:pPr>
        <w:spacing w:after="120"/>
      </w:pPr>
      <w:r>
        <w:rPr>
          <w:rFonts w:ascii="Noto Sans CJK SC" w:hAnsi="Noto Sans CJK SC" w:eastAsia="Noto Sans CJK SC" w:cs="Noto Sans CJK SC" w:hint="eastAsia"/>
          <w:b/>
          <w:color w:val="24364A"/>
          <w:sz w:val="18"/>
          <w:lang w:val="zh-CN" w:eastAsia="zh-CN"/>
        </w:rPr>
        <w:t>[S13] 淮南市2026年政府工作报告</w:t>
        <w:br/>
      </w:r>
      <w:r>
        <w:rPr>
          <w:rFonts w:ascii="Noto Sans CJK SC" w:hAnsi="Noto Sans CJK SC" w:eastAsia="Noto Sans CJK SC" w:cs="Noto Sans CJK SC" w:hint="eastAsia"/>
          <w:color w:val="235986"/>
          <w:sz w:val="17"/>
          <w:lang w:val="zh-CN" w:eastAsia="zh-CN"/>
        </w:rPr>
        <w:t>https://www.huainan.gov.cn/zwgk/jrhn/1260861773.html</w:t>
      </w:r>
    </w:p>
    <w:p>
      <w:pPr>
        <w:spacing w:after="120"/>
      </w:pPr>
      <w:r>
        <w:rPr>
          <w:rFonts w:ascii="Noto Sans CJK SC" w:hAnsi="Noto Sans CJK SC" w:eastAsia="Noto Sans CJK SC" w:cs="Noto Sans CJK SC" w:hint="eastAsia"/>
          <w:b/>
          <w:color w:val="24364A"/>
          <w:sz w:val="18"/>
          <w:lang w:val="zh-CN" w:eastAsia="zh-CN"/>
        </w:rPr>
        <w:t>[S14] 淮南市级数据资产全过程管理试点方案</w:t>
        <w:br/>
      </w:r>
      <w:r>
        <w:rPr>
          <w:rFonts w:ascii="Noto Sans CJK SC" w:hAnsi="Noto Sans CJK SC" w:eastAsia="Noto Sans CJK SC" w:cs="Noto Sans CJK SC" w:hint="eastAsia"/>
          <w:color w:val="235986"/>
          <w:sz w:val="17"/>
          <w:lang w:val="zh-CN" w:eastAsia="zh-CN"/>
        </w:rPr>
        <w:t>https://www.huainan.gov.cn/zwgk/ztzl/szfgb/qtbmwj/1260691327.html</w:t>
      </w:r>
    </w:p>
    <w:p>
      <w:pPr>
        <w:spacing w:after="120"/>
      </w:pPr>
      <w:r>
        <w:rPr>
          <w:rFonts w:ascii="Noto Sans CJK SC" w:hAnsi="Noto Sans CJK SC" w:eastAsia="Noto Sans CJK SC" w:cs="Noto Sans CJK SC" w:hint="eastAsia"/>
          <w:b/>
          <w:color w:val="24364A"/>
          <w:sz w:val="18"/>
          <w:lang w:val="zh-CN" w:eastAsia="zh-CN"/>
        </w:rPr>
        <w:t>[S15] 淮南市政府：数智赋能能源产业公开报道</w:t>
        <w:br/>
      </w:r>
      <w:r>
        <w:rPr>
          <w:rFonts w:ascii="Noto Sans CJK SC" w:hAnsi="Noto Sans CJK SC" w:eastAsia="Noto Sans CJK SC" w:cs="Noto Sans CJK SC" w:hint="eastAsia"/>
          <w:color w:val="235986"/>
          <w:sz w:val="17"/>
          <w:lang w:val="zh-CN" w:eastAsia="zh-CN"/>
        </w:rPr>
        <w:t>https://www.huainan.gov.cn/zwgk/bmdt/1260997999.html</w:t>
      </w:r>
    </w:p>
    <w:p>
      <w:pPr>
        <w:spacing w:before="80" w:after="120"/>
        <w:ind w:left="340" w:right="227" w:firstLine="0"/>
      </w:pPr>
      <w:r>
        <w:rPr>
          <w:rFonts w:ascii="Noto Sans CJK SC" w:hAnsi="Noto Sans CJK SC" w:eastAsia="Noto Sans CJK SC" w:cs="Noto Sans CJK SC" w:hint="eastAsia"/>
          <w:b w:val="0"/>
          <w:color w:val="6C675F"/>
          <w:sz w:val="17"/>
          <w:lang w:val="zh-CN" w:eastAsia="zh-CN"/>
        </w:rPr>
        <w:t>引用核验日期：2026年7月13日。政策与公开数据可能更新，正式报送前应再次核验有效性、发布机关、适用范围及原文表述。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417" w:bottom="1332" w:left="158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 w:cs="Noto Sans CJK SC" w:hint="eastAsia"/>
        <w:b w:val="0"/>
        <w:color w:val="777777"/>
        <w:sz w:val="18"/>
        <w:lang w:val="zh-CN" w:eastAsia="zh-CN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Noto Sans CJK SC" w:hAnsi="Noto Sans CJK SC" w:eastAsia="Noto Sans CJK SC" w:cs="Noto Sans CJK SC" w:hint="eastAsia"/>
        <w:color w:val="6C675F"/>
        <w:sz w:val="17"/>
        <w:lang w:val="zh-CN" w:eastAsia="zh-CN"/>
      </w:rPr>
      <w:t>淮南 TOKEN 超市　｜　城市级人工智能公共服务平台 · 建设运营实施方案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0" w:lineRule="auto" w:after="160"/>
      <w:ind w:firstLine="420"/>
      <w:jc w:val="both"/>
    </w:pPr>
    <w:rPr>
      <w:rFonts w:ascii="Noto Sans CJK SC" w:hAnsi="Noto Sans CJK SC" w:eastAsia="Noto Sans CJK SC"/>
      <w:color w:val="24364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Noto Sans CJK SC" w:hAnsi="Noto Sans CJK SC" w:eastAsia="Noto Sans CJK SC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Noto Sans CJK SC" w:hAnsi="Noto Sans CJK SC" w:eastAsia="Noto Sans CJK SC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Noto Sans CJK SC" w:hAnsi="Noto Sans CJK SC" w:eastAsia="Noto Sans CJK SC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Noto Sans CJK SC" w:hAnsi="Noto Sans CJK SC" w:eastAsia="Noto Sans CJK S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73E6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3598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3598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Noto Sans CJK SC" w:hAnsi="Noto Sans CJK SC" w:eastAsia="Noto Sans CJK SC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Noto Sans CJK SC" w:hAnsi="Noto Sans CJK SC" w:eastAsia="Noto Sans CJK SC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Noto Sans CJK SC" w:hAnsi="Noto Sans CJK SC" w:eastAsia="Noto Sans CJK SC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Noto Sans CJK SC" w:hAnsi="Noto Sans CJK SC" w:eastAsia="Noto Sans CJK SC"/>
    </w:rPr>
  </w:style>
  <w:style w:type="table" w:default="1" w:styleId="TableNormal">
    <w:name w:val="Normal Table"/>
    <w:uiPriority w:val="99"/>
    <w:semiHidden/>
    <w:unhideWhenUsed/>
    <w:rPr>
      <w:rFonts w:ascii="Noto Sans CJK SC" w:hAnsi="Noto Sans CJK SC" w:eastAsia="Noto Sans CJK SC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Noto Sans CJK SC" w:hAnsi="Noto Sans CJK SC" w:eastAsia="Noto Sans CJK SC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Noto Sans CJK SC" w:hAnsi="Noto Sans CJK SC" w:eastAsia="Noto Sans CJK SC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Noto Sans CJK SC" w:hAnsi="Noto Sans CJK SC" w:eastAsia="Noto Sans CJK SC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40" w:line="240" w:lineRule="auto" w:before="280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63A63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Noto Sans CJK SC" w:hAnsi="Noto Sans CJK SC" w:eastAsia="Noto Sans CJK SC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SC" w:hAnsi="Noto Sans CJK SC" w:eastAsia="Noto Sans CJK SC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Noto Sans CJK SC" w:hAnsi="Noto Sans CJK SC" w:eastAsia="Noto Sans CJK SC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Noto Sans CJK SC" w:hAnsi="Noto Sans CJK SC" w:eastAsia="Noto Sans CJK SC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Noto Sans CJK SC" w:hAnsi="Noto Sans CJK SC" w:eastAsia="Noto Sans CJK SC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Noto Sans CJK SC" w:hAnsi="Noto Sans CJK SC" w:eastAsia="Noto Sans CJK SC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Noto Sans CJK SC" w:hAnsi="Noto Sans CJK SC" w:eastAsia="Noto Sans CJK SC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Noto Sans CJK SC" w:hAnsi="Noto Sans CJK SC" w:eastAsia="Noto Sans CJK SC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Noto Sans CJK SC" w:hAnsi="Noto Sans CJK SC" w:eastAsia="Noto Sans CJK S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Noto Sans CJK SC" w:hAnsi="Noto Sans CJK SC" w:eastAsia="Noto Sans CJK SC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Noto Sans CJK SC" w:hAnsi="Noto Sans CJK SC" w:eastAsia="Noto Sans CJK SC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Noto Sans CJK SC" w:hAnsi="Noto Sans CJK SC" w:eastAsia="Noto Sans CJK SC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Noto Sans CJK SC" w:hAnsi="Noto Sans CJK SC" w:eastAsia="Noto Sans CJK SC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Noto Sans CJK SC" w:hAnsi="Noto Sans CJK SC" w:eastAsia="Noto Sans CJK SC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Noto Sans CJK SC" w:hAnsi="Noto Sans CJK SC" w:eastAsia="Noto Sans CJK SC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Noto Sans CJK SC" w:hAnsi="Noto Sans CJK SC" w:eastAsia="Noto Sans CJK SC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Noto Sans CJK SC" w:hAnsi="Noto Sans CJK SC" w:eastAsia="Noto Sans CJK SC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Noto Sans CJK SC" w:hAnsi="Noto Sans CJK SC" w:eastAsia="Noto Sans CJK SC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Noto Sans CJK SC" w:hAnsi="Noto Sans CJK SC" w:eastAsia="Noto Sans CJK SC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Noto Sans CJK SC" w:hAnsi="Noto Sans CJK SC" w:eastAsia="Noto Sans CJK SC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Noto Sans CJK SC" w:hAnsi="Noto Sans CJK SC" w:eastAsia="Noto Sans CJK SC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Noto Sans CJK SC" w:hAnsi="Noto Sans CJK SC" w:eastAsia="Noto Sans CJK SC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Noto Sans CJK SC" w:hAnsi="Noto Sans CJK SC" w:eastAsia="Noto Sans CJK S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Noto Sans CJK SC" w:hAnsi="Noto Sans CJK SC" w:eastAsia="Noto Sans CJK SC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Noto Sans CJK SC" w:hAnsi="Noto Sans CJK SC" w:eastAsia="Noto Sans CJK SC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Noto Sans CJK SC" w:hAnsi="Noto Sans CJK SC" w:eastAsia="Noto Sans CJK SC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Noto Sans CJK SC" w:hAnsi="Noto Sans CJK SC" w:eastAsia="Noto Sans CJK SC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Noto Sans CJK SC" w:hAnsi="Noto Sans CJK SC" w:eastAsia="Noto Sans CJK SC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Noto Sans CJK SC" w:hAnsi="Noto Sans CJK SC" w:eastAsia="Noto Sans CJK SC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Noto Sans CJK SC" w:hAnsi="Noto Sans CJK SC" w:eastAsia="Noto Sans CJK SC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Noto Sans CJK SC" w:hAnsi="Noto Sans CJK SC" w:eastAsia="Noto Sans CJK SC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Noto Sans CJK SC" w:hAnsi="Noto Sans CJK SC" w:eastAsia="Noto Sans CJK SC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Noto Sans CJK SC" w:hAnsi="Noto Sans CJK SC" w:eastAsia="Noto Sans CJK SC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Noto Sans CJK SC" w:hAnsi="Noto Sans CJK SC" w:eastAsia="Noto Sans CJK SC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Noto Sans CJK SC" w:hAnsi="Noto Sans CJK SC" w:eastAsia="Noto Sans CJK SC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Noto Sans CJK SC" w:hAnsi="Noto Sans CJK SC" w:eastAsia="Noto Sans CJK SC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Noto Sans CJK SC" w:hAnsi="Noto Sans CJK SC" w:eastAsia="Noto Sans CJK SC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Noto Sans CJK SC" w:hAnsi="Noto Sans CJK SC" w:eastAsia="Noto Sans CJK SC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Noto Sans CJK SC" w:hAnsi="Noto Sans CJK SC" w:eastAsia="Noto Sans CJK S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Noto Sans CJK SC" w:hAnsi="Noto Sans CJK SC" w:eastAsia="Noto Sans CJK SC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Noto Sans CJK SC" w:hAnsi="Noto Sans CJK SC" w:eastAsia="Noto Sans CJK SC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Noto Sans CJK SC" w:hAnsi="Noto Sans CJK SC" w:eastAsia="Noto Sans CJK SC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Noto Sans CJK SC" w:hAnsi="Noto Sans CJK SC" w:eastAsia="Noto Sans CJK SC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淮南市人工智能公共服务平台暨Token超市建设运营实施方案（V2.0）</dc:title>
  <dc:subject>政府对接、国企运营、城市人工智能公共服务平台</dc:subject>
  <dc:creator>项目交流材料</dc:creator>
  <cp:keywords>淮南, Token超市, 人工智能公共服务平台, 建设运营方案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